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14</w:t>
      </w:r>
      <w:r>
        <w:rPr>
          <w:rFonts w:hint="eastAsia" w:ascii="Arial" w:hAnsi="Arial" w:eastAsia="等线" w:cs="Arial"/>
          <w:b/>
        </w:rPr>
        <w:t>bis</w:t>
      </w:r>
      <w:r>
        <w:rPr>
          <w:rFonts w:ascii="Arial" w:hAnsi="Arial" w:eastAsia="等线" w:cs="Arial"/>
          <w:b/>
        </w:rPr>
        <w:tab/>
      </w:r>
      <w:r>
        <w:rPr>
          <w:rFonts w:ascii="Arial" w:hAnsi="Arial" w:eastAsia="等线" w:cs="Arial"/>
          <w:b/>
          <w:bCs/>
        </w:rPr>
        <w:tab/>
      </w:r>
      <w:r>
        <w:rPr>
          <w:rFonts w:ascii="Arial" w:hAnsi="Arial" w:eastAsia="等线" w:cs="Arial"/>
          <w:b/>
          <w:bCs/>
        </w:rPr>
        <w:t>R4</w:t>
      </w:r>
      <w:bookmarkStart w:id="15" w:name="_GoBack"/>
      <w:r>
        <w:rPr>
          <w:rFonts w:ascii="Arial" w:hAnsi="Arial" w:eastAsia="等线" w:cs="Arial"/>
          <w:b/>
          <w:bCs/>
          <w:highlight w:val="none"/>
        </w:rPr>
        <w:t>-2</w:t>
      </w:r>
      <w:bookmarkEnd w:id="1"/>
      <w:r>
        <w:rPr>
          <w:rFonts w:hint="eastAsia" w:ascii="Arial" w:hAnsi="Arial" w:eastAsia="等线" w:cs="Arial"/>
          <w:b/>
          <w:bCs/>
          <w:highlight w:val="none"/>
          <w:lang w:val="en-US" w:eastAsia="zh-CN"/>
        </w:rPr>
        <w:t>503374</w:t>
      </w:r>
      <w:bookmarkEnd w:id="15"/>
    </w:p>
    <w:p w14:paraId="170F4F4F">
      <w:pPr>
        <w:tabs>
          <w:tab w:val="left" w:pos="3106"/>
          <w:tab w:val="center" w:pos="4536"/>
          <w:tab w:val="right" w:pos="9072"/>
        </w:tabs>
        <w:jc w:val="both"/>
        <w:rPr>
          <w:rFonts w:ascii="Arial" w:hAnsi="Arial" w:cs="Arial"/>
          <w:b/>
          <w:bCs/>
        </w:rPr>
      </w:pPr>
      <w:r>
        <w:rPr>
          <w:rFonts w:hint="eastAsia" w:ascii="Arial" w:hAnsi="Arial" w:cs="Arial"/>
          <w:b/>
          <w:bCs/>
          <w:lang w:val="en-US" w:eastAsia="zh-CN"/>
        </w:rPr>
        <w:t>Wuhan</w:t>
      </w:r>
      <w:r>
        <w:rPr>
          <w:rFonts w:hint="eastAsia" w:ascii="Arial" w:hAnsi="Arial" w:cs="Arial"/>
          <w:b/>
          <w:bCs/>
        </w:rPr>
        <w:t xml:space="preserve">, China,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bookmarkEnd w:id="0"/>
    <w:p w14:paraId="6DCE2007">
      <w:pPr>
        <w:tabs>
          <w:tab w:val="left" w:pos="1985"/>
        </w:tabs>
        <w:rPr>
          <w:b/>
          <w:sz w:val="22"/>
        </w:rPr>
      </w:pPr>
    </w:p>
    <w:p w14:paraId="23AD3A47">
      <w:pPr>
        <w:tabs>
          <w:tab w:val="left" w:pos="1765"/>
          <w:tab w:val="center" w:pos="4557"/>
        </w:tabs>
        <w:rPr>
          <w:rFonts w:hint="eastAsia" w:eastAsiaTheme="minorEastAsia"/>
          <w:b/>
          <w:sz w:val="22"/>
          <w:lang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7</w:t>
      </w:r>
      <w:r>
        <w:rPr>
          <w:sz w:val="22"/>
          <w:highlight w:val="none"/>
        </w:rPr>
        <w:t>.1</w:t>
      </w:r>
      <w:r>
        <w:rPr>
          <w:rFonts w:hint="eastAsia"/>
          <w:sz w:val="22"/>
          <w:highlight w:val="none"/>
          <w:lang w:val="en-US" w:eastAsia="zh-CN"/>
        </w:rPr>
        <w:t>2</w:t>
      </w:r>
      <w:r>
        <w:rPr>
          <w:sz w:val="22"/>
          <w:highlight w:val="none"/>
        </w:rPr>
        <w:t>.</w:t>
      </w:r>
      <w:r>
        <w:rPr>
          <w:rFonts w:hint="eastAsia"/>
          <w:sz w:val="22"/>
          <w:highlight w:val="none"/>
          <w:lang w:val="en-US" w:eastAsia="zh-CN"/>
        </w:rPr>
        <w:t>5</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rPr>
        <w:t xml:space="preserve"> </w:t>
      </w:r>
      <w:r>
        <w:rPr>
          <w:rFonts w:hint="eastAsia"/>
          <w:sz w:val="22"/>
          <w:lang w:val="en-US" w:eastAsia="zh-CN"/>
        </w:rPr>
        <w:t xml:space="preserve">measurement accuracy and </w:t>
      </w:r>
      <w:r>
        <w:rPr>
          <w:rFonts w:hint="eastAsia"/>
          <w:sz w:val="22"/>
        </w:rPr>
        <w:t>test cases</w:t>
      </w:r>
      <w:r>
        <w:rPr>
          <w:sz w:val="22"/>
        </w:rPr>
        <w:t xml:space="preserve"> for </w:t>
      </w:r>
      <w:r>
        <w:rPr>
          <w:rFonts w:hint="eastAsia"/>
          <w:sz w:val="22"/>
          <w:lang w:val="en-US" w:eastAsia="zh-CN"/>
        </w:rPr>
        <w:t xml:space="preserve">R19 </w:t>
      </w:r>
      <w:r>
        <w:rPr>
          <w:sz w:val="22"/>
        </w:rPr>
        <w:t>ATG</w:t>
      </w:r>
      <w:bookmarkEnd w:id="3"/>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0B4C47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sz w:val="20"/>
          <w:szCs w:val="20"/>
          <w:lang w:val="en-US" w:eastAsia="zh-CN"/>
        </w:rPr>
        <w:t xml:space="preserve">Rel-19 </w:t>
      </w:r>
      <w:r>
        <w:rPr>
          <w:rFonts w:hint="eastAsia"/>
          <w:sz w:val="20"/>
          <w:szCs w:val="20"/>
        </w:rPr>
        <w:t>ATG RRM core requirements were discussed during RAN4#1</w:t>
      </w:r>
      <w:r>
        <w:rPr>
          <w:rFonts w:hint="eastAsia"/>
          <w:sz w:val="20"/>
          <w:szCs w:val="20"/>
          <w:lang w:val="en-US" w:eastAsia="zh-CN"/>
        </w:rPr>
        <w:t>12</w:t>
      </w:r>
      <w:r>
        <w:rPr>
          <w:rFonts w:hint="eastAsia"/>
          <w:sz w:val="20"/>
          <w:szCs w:val="20"/>
        </w:rPr>
        <w:t xml:space="preserve"> to RAN4#1</w:t>
      </w:r>
      <w:r>
        <w:rPr>
          <w:rFonts w:hint="eastAsia"/>
          <w:sz w:val="20"/>
          <w:szCs w:val="20"/>
          <w:lang w:val="en-US" w:eastAsia="zh-CN"/>
        </w:rPr>
        <w:t>14</w:t>
      </w:r>
      <w:r>
        <w:rPr>
          <w:rFonts w:hint="eastAsia"/>
          <w:sz w:val="20"/>
          <w:szCs w:val="20"/>
        </w:rPr>
        <w:t>. According to the TU allocation</w:t>
      </w:r>
      <w:r>
        <w:rPr>
          <w:rFonts w:hint="eastAsia"/>
          <w:sz w:val="20"/>
          <w:szCs w:val="20"/>
          <w:lang w:val="en-US" w:eastAsia="zh-CN"/>
        </w:rPr>
        <w:t xml:space="preserve"> and work plan</w:t>
      </w:r>
      <w:r>
        <w:rPr>
          <w:rFonts w:hint="eastAsia"/>
          <w:sz w:val="20"/>
          <w:szCs w:val="20"/>
        </w:rPr>
        <w:t xml:space="preserve">, RAN4 is supposed to start the performance part for the WI. In this contribution, we will provide our views on the measurement accuracy and test cases for ATG.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14:paraId="1F5C9C87">
      <w:pPr>
        <w:pStyle w:val="2"/>
        <w:numPr>
          <w:ilvl w:val="1"/>
          <w:numId w:val="2"/>
        </w:numPr>
        <w:pBdr>
          <w:top w:val="single" w:color="auto" w:sz="12" w:space="3"/>
        </w:pBdr>
        <w:spacing w:before="120" w:after="60" w:line="240" w:lineRule="auto"/>
        <w:rPr>
          <w:rFonts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w:t>
      </w:r>
      <w:r>
        <w:rPr>
          <w:rFonts w:ascii="Times New Roman" w:hAnsi="Times New Roman"/>
          <w:b w:val="0"/>
          <w:bCs w:val="0"/>
          <w:kern w:val="0"/>
          <w:sz w:val="28"/>
          <w:szCs w:val="28"/>
          <w:lang w:val="en-GB"/>
        </w:rPr>
        <w:t>Measurement</w:t>
      </w:r>
      <w:r>
        <w:rPr>
          <w:rFonts w:hint="eastAsia" w:ascii="Times New Roman" w:hAnsi="Times New Roman"/>
          <w:b w:val="0"/>
          <w:bCs w:val="0"/>
          <w:kern w:val="0"/>
          <w:sz w:val="28"/>
          <w:szCs w:val="28"/>
        </w:rPr>
        <w:t xml:space="preserve"> Accuracy</w:t>
      </w:r>
    </w:p>
    <w:p w14:paraId="56DBD4F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等线"/>
          <w:bCs/>
          <w:sz w:val="20"/>
          <w:szCs w:val="20"/>
          <w:lang w:val="en-US" w:eastAsia="zh-CN"/>
        </w:rPr>
      </w:pPr>
      <w:bookmarkStart w:id="9" w:name="_Hlk133265252"/>
      <w:r>
        <w:rPr>
          <w:rFonts w:hint="eastAsia" w:eastAsia="等线"/>
          <w:bCs/>
          <w:sz w:val="20"/>
          <w:szCs w:val="20"/>
          <w:lang w:val="en-US" w:eastAsia="zh-CN"/>
        </w:rPr>
        <w:t>For ATG CA, only L1 measurements of SCell and L3 intra-frequency measurement of CC with SCell are newly introduced.</w:t>
      </w:r>
    </w:p>
    <w:p w14:paraId="7754589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等线"/>
          <w:bCs/>
          <w:sz w:val="20"/>
          <w:szCs w:val="20"/>
          <w:lang w:val="en-US" w:eastAsia="zh-CN"/>
        </w:rPr>
      </w:pPr>
      <w:r>
        <w:rPr>
          <w:rFonts w:hint="eastAsia" w:eastAsia="等线"/>
          <w:bCs/>
          <w:sz w:val="20"/>
          <w:szCs w:val="20"/>
          <w:lang w:val="en-US" w:eastAsia="zh-CN"/>
        </w:rPr>
        <w:t>Since the number of measurement samples is reused, and no difference between SCell and PCell for the side condition, we think the legacy FR1 TN accuracy requirement can be reused, just like we did in Rel-18.</w:t>
      </w:r>
    </w:p>
    <w:p w14:paraId="0B49A8CD">
      <w:pPr>
        <w:keepNext w:val="0"/>
        <w:keepLines w:val="0"/>
        <w:pageBreakBefore w:val="0"/>
        <w:widowControl/>
        <w:kinsoku/>
        <w:wordWrap/>
        <w:overflowPunct/>
        <w:topLinePunct w:val="0"/>
        <w:autoSpaceDE/>
        <w:autoSpaceDN/>
        <w:bidi w:val="0"/>
        <w:adjustRightInd/>
        <w:snapToGrid/>
        <w:spacing w:before="60" w:after="60"/>
        <w:jc w:val="both"/>
        <w:textAlignment w:val="auto"/>
        <w:rPr>
          <w:b/>
          <w:i/>
          <w:iCs/>
          <w:sz w:val="20"/>
          <w:szCs w:val="20"/>
        </w:rPr>
      </w:pPr>
      <w:bookmarkStart w:id="10" w:name="OLE_LINK5"/>
      <w:r>
        <w:rPr>
          <w:rFonts w:hint="eastAsia"/>
          <w:b/>
          <w:i/>
          <w:iCs/>
          <w:sz w:val="20"/>
          <w:szCs w:val="20"/>
        </w:rPr>
        <w:t xml:space="preserve">Proposal 1: </w:t>
      </w:r>
      <w:r>
        <w:rPr>
          <w:rFonts w:hint="eastAsia"/>
          <w:b/>
          <w:i/>
          <w:iCs/>
          <w:sz w:val="20"/>
          <w:szCs w:val="20"/>
          <w:lang w:val="en-US" w:eastAsia="zh-CN"/>
        </w:rPr>
        <w:t>For ATG L1/L3 measurement of SCell/SCC, r</w:t>
      </w:r>
      <w:r>
        <w:rPr>
          <w:rFonts w:hint="eastAsia"/>
          <w:b/>
          <w:i/>
          <w:iCs/>
          <w:sz w:val="20"/>
          <w:szCs w:val="20"/>
        </w:rPr>
        <w:t>euse the Es/Iot side condition and measurement accuracy requirement of legacy TN network.</w:t>
      </w:r>
    </w:p>
    <w:bookmarkEnd w:id="10"/>
    <w:p w14:paraId="7F650ABD">
      <w:pPr>
        <w:pStyle w:val="2"/>
        <w:numPr>
          <w:ilvl w:val="1"/>
          <w:numId w:val="2"/>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ATG </w:t>
      </w:r>
      <w:r>
        <w:rPr>
          <w:rFonts w:hint="eastAsia" w:ascii="Times New Roman" w:hAnsi="Times New Roman"/>
          <w:b w:val="0"/>
          <w:bCs w:val="0"/>
          <w:kern w:val="0"/>
          <w:sz w:val="28"/>
          <w:szCs w:val="28"/>
          <w:lang w:val="en-US" w:eastAsia="zh-CN"/>
        </w:rPr>
        <w:t xml:space="preserve">CA </w:t>
      </w:r>
      <w:r>
        <w:rPr>
          <w:rFonts w:hint="eastAsia" w:ascii="Times New Roman" w:hAnsi="Times New Roman"/>
          <w:b w:val="0"/>
          <w:bCs w:val="0"/>
          <w:kern w:val="0"/>
          <w:sz w:val="28"/>
          <w:szCs w:val="28"/>
        </w:rPr>
        <w:t>test cases</w:t>
      </w:r>
    </w:p>
    <w:p w14:paraId="1D9CCEC0">
      <w:pPr>
        <w:pageBreakBefore w:val="0"/>
        <w:widowControl/>
        <w:kinsoku/>
        <w:wordWrap/>
        <w:overflowPunct/>
        <w:topLinePunct w:val="0"/>
        <w:autoSpaceDE/>
        <w:autoSpaceDN/>
        <w:bidi w:val="0"/>
        <w:adjustRightInd/>
        <w:snapToGrid/>
        <w:spacing w:before="60" w:after="60"/>
        <w:jc w:val="both"/>
        <w:textAlignment w:val="auto"/>
        <w:rPr>
          <w:rFonts w:hint="eastAsia" w:eastAsia="宋体"/>
          <w:b/>
          <w:bCs/>
          <w:i/>
          <w:iCs/>
          <w:sz w:val="20"/>
          <w:szCs w:val="20"/>
          <w:u w:val="single"/>
          <w:lang w:val="en-US" w:eastAsia="zh-CN"/>
        </w:rPr>
      </w:pPr>
      <w:r>
        <w:rPr>
          <w:rFonts w:hint="eastAsia" w:eastAsia="宋体"/>
          <w:b/>
          <w:bCs/>
          <w:i/>
          <w:iCs/>
          <w:sz w:val="20"/>
          <w:szCs w:val="20"/>
          <w:u w:val="single"/>
          <w:lang w:val="en-US" w:eastAsia="zh-CN"/>
        </w:rPr>
        <w:t>Test configuration: SCS/BW/Duplex mode</w:t>
      </w:r>
    </w:p>
    <w:p w14:paraId="3952D8B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等线"/>
          <w:bCs/>
          <w:sz w:val="20"/>
          <w:szCs w:val="20"/>
          <w:lang w:val="en-US" w:eastAsia="zh-CN"/>
        </w:rPr>
      </w:pPr>
      <w:r>
        <w:rPr>
          <w:rFonts w:hint="eastAsia" w:eastAsia="等线"/>
          <w:bCs/>
          <w:sz w:val="20"/>
          <w:szCs w:val="20"/>
          <w:lang w:val="en-US" w:eastAsia="zh-CN"/>
        </w:rPr>
        <w:t>For both PCell and SCell, we propose to reuse the agreement from R18, that following three configurations are supported.</w:t>
      </w:r>
    </w:p>
    <w:p w14:paraId="061F3D2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Configuration 1: 15 kHz SSB SCS, 10 MHz bandwidth, FDD duplex mode</w:t>
      </w:r>
    </w:p>
    <w:p w14:paraId="1C5798C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Configuration 2: </w:t>
      </w:r>
      <w:bookmarkStart w:id="11" w:name="OLE_LINK3"/>
      <w:r>
        <w:rPr>
          <w:rFonts w:hint="eastAsia" w:eastAsia="宋体" w:cs="Times New Roman"/>
          <w:color w:val="auto"/>
          <w:sz w:val="20"/>
          <w:szCs w:val="20"/>
          <w:lang w:val="en-US" w:eastAsia="zh-CN"/>
        </w:rPr>
        <w:t>30 kHz SSB SCS, 40 MHz bandwidth, TDD duplex mode</w:t>
      </w:r>
      <w:bookmarkEnd w:id="11"/>
    </w:p>
    <w:p w14:paraId="1901E31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Configuration 3: </w:t>
      </w:r>
      <w:bookmarkStart w:id="12" w:name="OLE_LINK4"/>
      <w:r>
        <w:rPr>
          <w:rFonts w:hint="eastAsia" w:eastAsia="宋体" w:cs="Times New Roman"/>
          <w:color w:val="auto"/>
          <w:sz w:val="20"/>
          <w:szCs w:val="20"/>
          <w:lang w:val="en-US" w:eastAsia="zh-CN"/>
        </w:rPr>
        <w:t>15 kHz SSB SCS, 10 MHz bandwidth, TDD duplex mode</w:t>
      </w:r>
      <w:bookmarkEnd w:id="12"/>
    </w:p>
    <w:p w14:paraId="07967DFA">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If legacy TN test cases don</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t have this test configuration, then no need to introduce it into the corresponding ATG test cases.</w:t>
      </w:r>
    </w:p>
    <w:p w14:paraId="3EC9E3A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To make RRM test case more generic, test configuration for NR PCell and test configuration for NR SCell shall be chosen independently. To reduce the test effort, UE is only required to be tested in one of the supported test configurations, and only required to be tested in one with smallest aggregated channel bandwidth from supported band combinations which is composed of CCs ≥ the bandwidth (BW</w:t>
      </w:r>
      <w:r>
        <w:rPr>
          <w:rFonts w:hint="eastAsia" w:eastAsia="宋体" w:cs="Times New Roman"/>
          <w:color w:val="auto"/>
          <w:sz w:val="20"/>
          <w:szCs w:val="20"/>
          <w:vertAlign w:val="subscript"/>
          <w:lang w:val="en-US" w:eastAsia="zh-CN"/>
        </w:rPr>
        <w:t>channel</w:t>
      </w:r>
      <w:r>
        <w:rPr>
          <w:rFonts w:hint="eastAsia" w:eastAsia="宋体" w:cs="Times New Roman"/>
          <w:color w:val="auto"/>
          <w:sz w:val="20"/>
          <w:szCs w:val="20"/>
          <w:lang w:val="en-US" w:eastAsia="zh-CN"/>
        </w:rPr>
        <w:t>) defined in each test configuration.</w:t>
      </w:r>
    </w:p>
    <w:p w14:paraId="441E631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i/>
          <w:iCs/>
          <w:sz w:val="20"/>
          <w:szCs w:val="20"/>
          <w:lang w:val="en-US" w:eastAsia="zh-CN"/>
        </w:rPr>
        <w:t>Following three test configurations are supported for both PCell and SCell:</w:t>
      </w:r>
    </w:p>
    <w:p w14:paraId="0F5E769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Configuration 1:15kHz SSB SCS, 10MHz bandwidth, FDD duplex mode</w:t>
      </w:r>
    </w:p>
    <w:p w14:paraId="6FDD560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Configuration 2: 30kHz SSB SCS, 40MHz bandwidth, TDD duplex mode</w:t>
      </w:r>
    </w:p>
    <w:p w14:paraId="333EB6F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Configuration 3: 15kHz SSB SCS, 10MHz bandwidth, TDD duplex mode</w:t>
      </w:r>
    </w:p>
    <w:p w14:paraId="55B204DA">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If legacy TN test cases don</w:t>
      </w:r>
      <w:r>
        <w:rPr>
          <w:rFonts w:hint="default" w:eastAsia="宋体" w:cs="Times New Roman"/>
          <w:b/>
          <w:bCs/>
          <w:i/>
          <w:iCs/>
          <w:color w:val="auto"/>
          <w:sz w:val="20"/>
          <w:szCs w:val="20"/>
          <w:lang w:val="en-US" w:eastAsia="zh-CN"/>
        </w:rPr>
        <w:t>’</w:t>
      </w:r>
      <w:r>
        <w:rPr>
          <w:rFonts w:hint="eastAsia" w:eastAsia="宋体" w:cs="Times New Roman"/>
          <w:b/>
          <w:bCs/>
          <w:i/>
          <w:iCs/>
          <w:color w:val="auto"/>
          <w:sz w:val="20"/>
          <w:szCs w:val="20"/>
          <w:lang w:val="en-US" w:eastAsia="zh-CN"/>
        </w:rPr>
        <w:t>t have this test configuration, then no need to introduce it into the corresponding ATG test cases.</w:t>
      </w:r>
    </w:p>
    <w:p w14:paraId="0B4BCC9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3: Introduce following test applicability rule:</w:t>
      </w:r>
    </w:p>
    <w:p w14:paraId="5D4C9B9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UE is only required to be tested in one of the supported test configurations</w:t>
      </w:r>
    </w:p>
    <w:p w14:paraId="5C94EF7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UE is only required to be tested in one with smallest aggregated channel bandwidth from supported band combinations which is composed of CCs </w:t>
      </w:r>
      <w:r>
        <w:rPr>
          <w:rFonts w:hint="default" w:ascii="Arial" w:hAnsi="Arial" w:eastAsia="宋体" w:cs="Arial"/>
          <w:b/>
          <w:bCs/>
          <w:i/>
          <w:iCs/>
          <w:color w:val="auto"/>
          <w:sz w:val="20"/>
          <w:szCs w:val="20"/>
          <w:lang w:val="en-US" w:eastAsia="zh-CN"/>
        </w:rPr>
        <w:t>≥</w:t>
      </w:r>
      <w:r>
        <w:rPr>
          <w:rFonts w:hint="eastAsia" w:eastAsia="宋体" w:cs="Times New Roman"/>
          <w:b/>
          <w:bCs/>
          <w:i/>
          <w:iCs/>
          <w:color w:val="auto"/>
          <w:sz w:val="20"/>
          <w:szCs w:val="20"/>
          <w:lang w:val="en-US" w:eastAsia="zh-CN"/>
        </w:rPr>
        <w:t xml:space="preserve"> the bandwidth (BW</w:t>
      </w:r>
      <w:r>
        <w:rPr>
          <w:rFonts w:hint="eastAsia" w:eastAsia="宋体" w:cs="Times New Roman"/>
          <w:b/>
          <w:bCs/>
          <w:i/>
          <w:iCs/>
          <w:color w:val="auto"/>
          <w:sz w:val="20"/>
          <w:szCs w:val="20"/>
          <w:vertAlign w:val="subscript"/>
          <w:lang w:val="en-US" w:eastAsia="zh-CN"/>
        </w:rPr>
        <w:t>channel</w:t>
      </w:r>
      <w:r>
        <w:rPr>
          <w:rFonts w:hint="eastAsia" w:eastAsia="宋体" w:cs="Times New Roman"/>
          <w:b/>
          <w:bCs/>
          <w:i/>
          <w:iCs/>
          <w:color w:val="auto"/>
          <w:sz w:val="20"/>
          <w:szCs w:val="20"/>
          <w:lang w:val="en-US" w:eastAsia="zh-CN"/>
        </w:rPr>
        <w:t>) defined in each test configuration</w:t>
      </w:r>
    </w:p>
    <w:p w14:paraId="3626BDF4">
      <w:pPr>
        <w:spacing w:before="60"/>
        <w:jc w:val="both"/>
        <w:rPr>
          <w:rFonts w:hint="eastAsia" w:eastAsia="宋体"/>
          <w:b/>
          <w:bCs/>
          <w:i/>
          <w:iCs/>
          <w:sz w:val="20"/>
          <w:szCs w:val="20"/>
          <w:u w:val="single"/>
          <w:lang w:val="en-US" w:eastAsia="zh-CN"/>
        </w:rPr>
      </w:pPr>
    </w:p>
    <w:p w14:paraId="612AA434">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In addition, we think following test setups agreed in R18 can be reused for the new test cases which introduced in R19.</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6622"/>
      </w:tblGrid>
      <w:tr w14:paraId="58B3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1C5FB44B">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TDD pattern</w:t>
            </w:r>
          </w:p>
        </w:tc>
        <w:tc>
          <w:tcPr>
            <w:tcW w:w="6622" w:type="dxa"/>
          </w:tcPr>
          <w:p w14:paraId="191E212A">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The legacy TDD pattern are used</w:t>
            </w:r>
          </w:p>
        </w:tc>
      </w:tr>
      <w:tr w14:paraId="7C0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07220BFA">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ko-KR"/>
              </w:rPr>
              <w:t>RMC</w:t>
            </w:r>
          </w:p>
        </w:tc>
        <w:tc>
          <w:tcPr>
            <w:tcW w:w="6622" w:type="dxa"/>
          </w:tcPr>
          <w:p w14:paraId="03415217">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the legacy NR RMCs defined in section A.3.1 of TS 38.133 are reused for ATG test cases.</w:t>
            </w:r>
          </w:p>
        </w:tc>
      </w:tr>
      <w:tr w14:paraId="417D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2644E0C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ko-KR"/>
              </w:rPr>
              <w:t>OCNG</w:t>
            </w:r>
          </w:p>
        </w:tc>
        <w:tc>
          <w:tcPr>
            <w:tcW w:w="6622" w:type="dxa"/>
          </w:tcPr>
          <w:p w14:paraId="5DC4C5EC">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defined in A.3.2.1.1 in TS 38.133.</w:t>
            </w:r>
          </w:p>
          <w:p w14:paraId="3BBF14A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unused REs in the same bandwidth as CORESET defined in A.3.2.1.3 of TS 38.133.</w:t>
            </w:r>
          </w:p>
          <w:p w14:paraId="1FD92941">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Generic OCNG pattern for all unused REs outside SSB slot(s) defined in A.3.2.1.4 in TS 38.133</w:t>
            </w:r>
          </w:p>
        </w:tc>
      </w:tr>
      <w:tr w14:paraId="16E2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shd w:val="clear" w:color="auto" w:fill="auto"/>
            <w:vAlign w:val="top"/>
          </w:tcPr>
          <w:p w14:paraId="0E70155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0" w:leftChars="0" w:firstLine="0" w:firstLineChars="0"/>
              <w:jc w:val="both"/>
              <w:textAlignment w:val="auto"/>
              <w:rPr>
                <w:rFonts w:hint="eastAsia" w:ascii="Times New Roman" w:hAnsi="Times New Roman" w:eastAsia="宋体" w:cs="Times New Roman"/>
                <w:color w:val="auto"/>
                <w:sz w:val="20"/>
                <w:szCs w:val="20"/>
                <w:lang w:val="en-US" w:eastAsia="ko-KR" w:bidi="ar-SA"/>
              </w:rPr>
            </w:pPr>
            <w:r>
              <w:rPr>
                <w:rFonts w:hint="eastAsia" w:eastAsia="宋体" w:cs="Times New Roman"/>
                <w:color w:val="auto"/>
                <w:sz w:val="20"/>
                <w:szCs w:val="20"/>
                <w:lang w:val="en-US" w:eastAsia="zh-CN"/>
              </w:rPr>
              <w:t>number of neighbour cells</w:t>
            </w:r>
          </w:p>
        </w:tc>
        <w:tc>
          <w:tcPr>
            <w:tcW w:w="6622" w:type="dxa"/>
            <w:shd w:val="clear" w:color="auto" w:fill="auto"/>
            <w:vAlign w:val="top"/>
          </w:tcPr>
          <w:p w14:paraId="59E2FCF5">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0" w:leftChars="0" w:firstLine="0" w:firstLineChars="0"/>
              <w:jc w:val="both"/>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rPr>
              <w:t>one neighbour cell in the test if needed</w:t>
            </w:r>
          </w:p>
        </w:tc>
      </w:tr>
      <w:tr w14:paraId="769C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108F197A">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Channel model</w:t>
            </w:r>
          </w:p>
        </w:tc>
        <w:tc>
          <w:tcPr>
            <w:tcW w:w="6622" w:type="dxa"/>
          </w:tcPr>
          <w:p w14:paraId="01D4BC3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AWGN with residual doppler channel model</w:t>
            </w:r>
          </w:p>
        </w:tc>
      </w:tr>
      <w:tr w14:paraId="1E65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22493B9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GNSS and UE mobility setup</w:t>
            </w:r>
          </w:p>
        </w:tc>
        <w:tc>
          <w:tcPr>
            <w:tcW w:w="6622" w:type="dxa"/>
          </w:tcPr>
          <w:p w14:paraId="18C8D5D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UE positioning and UE speed are set by AT command. UE speed is 0km/h, UE specific positioning is emulated by test system.</w:t>
            </w:r>
          </w:p>
        </w:tc>
      </w:tr>
      <w:tr w14:paraId="0AB4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6898ADA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BS location</w:t>
            </w:r>
          </w:p>
        </w:tc>
        <w:tc>
          <w:tcPr>
            <w:tcW w:w="6622" w:type="dxa"/>
          </w:tcPr>
          <w:p w14:paraId="4C0040B4">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The specific gNB reference location is emulated by test system</w:t>
            </w:r>
          </w:p>
        </w:tc>
      </w:tr>
    </w:tbl>
    <w:p w14:paraId="627F690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bookmarkStart w:id="13" w:name="OLE_LINK6"/>
      <w:r>
        <w:rPr>
          <w:rFonts w:hint="eastAsia"/>
          <w:b/>
          <w:i/>
          <w:iCs/>
          <w:sz w:val="20"/>
          <w:szCs w:val="20"/>
          <w:lang w:val="en-US" w:eastAsia="zh-CN"/>
        </w:rPr>
        <w:t>Proposal 4: Following test setups agreed in R18 can be reused:</w:t>
      </w:r>
    </w:p>
    <w:p w14:paraId="132A1D0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TDD pattern: The legacy TDD pattern are used</w:t>
      </w:r>
    </w:p>
    <w:p w14:paraId="45895BD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ko-KR"/>
        </w:rPr>
        <w:t>RMC</w:t>
      </w:r>
      <w:r>
        <w:rPr>
          <w:rFonts w:hint="eastAsia" w:eastAsia="宋体" w:cs="Times New Roman"/>
          <w:b/>
          <w:bCs/>
          <w:i/>
          <w:iCs/>
          <w:color w:val="auto"/>
          <w:sz w:val="20"/>
          <w:szCs w:val="20"/>
          <w:lang w:val="en-US" w:eastAsia="zh-CN"/>
        </w:rPr>
        <w:t xml:space="preserve">: </w:t>
      </w:r>
      <w:r>
        <w:rPr>
          <w:rFonts w:hint="default" w:eastAsia="宋体" w:cs="Times New Roman"/>
          <w:b/>
          <w:bCs/>
          <w:i/>
          <w:iCs/>
          <w:color w:val="auto"/>
          <w:sz w:val="20"/>
          <w:szCs w:val="20"/>
          <w:lang w:val="en-US" w:eastAsia="zh-CN"/>
        </w:rPr>
        <w:t>the legacy NR RMCs defined in section A.3.1 of TS 38.133 are reused for ATG test cases.</w:t>
      </w:r>
    </w:p>
    <w:p w14:paraId="5CAD36B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ko-KR"/>
        </w:rPr>
        <w:t>OCNG</w:t>
      </w:r>
      <w:r>
        <w:rPr>
          <w:rFonts w:hint="eastAsia" w:eastAsia="宋体" w:cs="Times New Roman"/>
          <w:b/>
          <w:bCs/>
          <w:i/>
          <w:iCs/>
          <w:color w:val="auto"/>
          <w:sz w:val="20"/>
          <w:szCs w:val="20"/>
          <w:lang w:val="en-US" w:eastAsia="zh-CN"/>
        </w:rPr>
        <w:t xml:space="preserve">: </w:t>
      </w:r>
    </w:p>
    <w:p w14:paraId="5DA09790">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Generic OCNG pattern for all unused REs defined in A.3.2.1.1 in TS 38.133.</w:t>
      </w:r>
    </w:p>
    <w:p w14:paraId="75466C44">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Generic OCNG pattern for unused REs in the same bandwidth as CORESET defined in A.3.2.1.3 of TS 38.133.</w:t>
      </w:r>
    </w:p>
    <w:p w14:paraId="6DC700E3">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Generic OCNG pattern for all unused REs outside SSB slot(s) defined in A.3.2.1.4 in TS 38.133</w:t>
      </w:r>
    </w:p>
    <w:p w14:paraId="599E647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Number of neighbour cells: one neighbour cell in the test if needed</w:t>
      </w:r>
    </w:p>
    <w:p w14:paraId="73AF17C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Channel model: AWGN with residual doppler channel model</w:t>
      </w:r>
    </w:p>
    <w:p w14:paraId="5304D15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GNSS and UE mobility setup: </w:t>
      </w:r>
      <w:r>
        <w:rPr>
          <w:rFonts w:hint="default" w:eastAsia="宋体" w:cs="Times New Roman"/>
          <w:b/>
          <w:bCs/>
          <w:i/>
          <w:iCs/>
          <w:color w:val="auto"/>
          <w:sz w:val="20"/>
          <w:szCs w:val="20"/>
          <w:lang w:val="en-US" w:eastAsia="zh-CN"/>
        </w:rPr>
        <w:t>UE positioning and UE speed are set by AT command. UE speed is 0km/h, UE specific positioning is emulated by test system.</w:t>
      </w:r>
    </w:p>
    <w:p w14:paraId="0A1C5D5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b/>
          <w:bCs/>
          <w:i/>
          <w:iCs/>
          <w:sz w:val="20"/>
          <w:szCs w:val="20"/>
          <w:u w:val="single"/>
        </w:rPr>
      </w:pPr>
      <w:r>
        <w:rPr>
          <w:rFonts w:hint="eastAsia" w:eastAsia="宋体" w:cs="Times New Roman"/>
          <w:b/>
          <w:bCs/>
          <w:i/>
          <w:iCs/>
          <w:color w:val="auto"/>
          <w:sz w:val="20"/>
          <w:szCs w:val="20"/>
          <w:lang w:val="en-US" w:eastAsia="zh-CN"/>
        </w:rPr>
        <w:t xml:space="preserve">BS location: </w:t>
      </w:r>
      <w:r>
        <w:rPr>
          <w:rFonts w:hint="default" w:eastAsia="宋体" w:cs="Times New Roman"/>
          <w:b/>
          <w:bCs/>
          <w:i/>
          <w:iCs/>
          <w:color w:val="auto"/>
          <w:sz w:val="20"/>
          <w:szCs w:val="20"/>
          <w:lang w:val="en-US" w:eastAsia="zh-CN"/>
        </w:rPr>
        <w:t>The specific gNB reference location is emulated by test system</w:t>
      </w:r>
    </w:p>
    <w:bookmarkEnd w:id="13"/>
    <w:p w14:paraId="10C00C89">
      <w:pPr>
        <w:spacing w:before="60"/>
        <w:jc w:val="both"/>
        <w:rPr>
          <w:rFonts w:eastAsia="宋体"/>
          <w:sz w:val="20"/>
          <w:szCs w:val="20"/>
        </w:rPr>
      </w:pPr>
    </w:p>
    <w:p w14:paraId="48B96306">
      <w:pPr>
        <w:spacing w:before="60"/>
        <w:jc w:val="both"/>
        <w:rPr>
          <w:rFonts w:eastAsia="宋体"/>
          <w:b/>
          <w:bCs/>
          <w:i/>
          <w:iCs/>
          <w:sz w:val="20"/>
          <w:szCs w:val="20"/>
          <w:u w:val="single"/>
        </w:rPr>
      </w:pPr>
      <w:r>
        <w:rPr>
          <w:rFonts w:hint="eastAsia" w:eastAsia="宋体"/>
          <w:b/>
          <w:bCs/>
          <w:i/>
          <w:iCs/>
          <w:sz w:val="20"/>
          <w:szCs w:val="20"/>
          <w:u w:val="single"/>
        </w:rPr>
        <w:t>Test case coverage</w:t>
      </w:r>
    </w:p>
    <w:p w14:paraId="37B90FA9">
      <w:pPr>
        <w:spacing w:before="60"/>
        <w:jc w:val="both"/>
        <w:rPr>
          <w:rFonts w:hint="eastAsia" w:eastAsia="宋体"/>
          <w:sz w:val="20"/>
          <w:szCs w:val="20"/>
        </w:rPr>
      </w:pPr>
      <w:r>
        <w:rPr>
          <w:rFonts w:hint="eastAsia" w:eastAsia="宋体"/>
          <w:sz w:val="20"/>
          <w:szCs w:val="20"/>
        </w:rPr>
        <w:t xml:space="preserve">For the exact TCs, based on the </w:t>
      </w:r>
      <w:r>
        <w:rPr>
          <w:rFonts w:hint="eastAsia" w:eastAsia="宋体"/>
          <w:sz w:val="20"/>
          <w:szCs w:val="20"/>
          <w:lang w:val="en-US" w:eastAsia="zh-CN"/>
        </w:rPr>
        <w:t xml:space="preserve">new </w:t>
      </w:r>
      <w:r>
        <w:rPr>
          <w:rFonts w:hint="eastAsia" w:eastAsia="宋体"/>
          <w:sz w:val="20"/>
          <w:szCs w:val="20"/>
        </w:rPr>
        <w:t>core requirements, we think the following TCs should be defined for ATG</w:t>
      </w:r>
      <w:r>
        <w:rPr>
          <w:rFonts w:hint="eastAsia" w:eastAsia="宋体"/>
          <w:sz w:val="20"/>
          <w:szCs w:val="20"/>
          <w:lang w:val="en-US" w:eastAsia="zh-CN"/>
        </w:rPr>
        <w:t xml:space="preserve"> and related legacy TCs can be referred</w:t>
      </w:r>
      <w:r>
        <w:rPr>
          <w:rFonts w:hint="eastAsia" w:eastAsia="宋体"/>
          <w:sz w:val="20"/>
          <w:szCs w:val="20"/>
        </w:rPr>
        <w:t>.</w:t>
      </w:r>
    </w:p>
    <w:p w14:paraId="19F1EF2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Interruptions during measurements on deactivated NR SCC in FR1</w:t>
      </w:r>
    </w:p>
    <w:p w14:paraId="4B91A07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Interruption requirement at SRS antenna port switching with 1 SRS symbol in a slot</w:t>
      </w:r>
    </w:p>
    <w:p w14:paraId="7AF444E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Interruption requirement at SRS antenna port switching with more than 1 SRS symbol in a slot</w:t>
      </w:r>
    </w:p>
    <w:p w14:paraId="0D1C7D2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SCell Activation and deactivation of known SCell in FR1 in non-DRX for 160 ms SCell measurement cycle</w:t>
      </w:r>
    </w:p>
    <w:p w14:paraId="068835D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SCell Activation and deactivation of known SCell in FR1 in non-DRX for 640 ms SCell measurement cycle</w:t>
      </w:r>
    </w:p>
    <w:p w14:paraId="65D50AE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SCell Activation and deactivation of unknown SCell in FR1 in non-DRX</w:t>
      </w:r>
    </w:p>
    <w:p w14:paraId="773BBB3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Direct SCell activation at SCell addition of known SCell in FR1</w:t>
      </w:r>
    </w:p>
    <w:p w14:paraId="504552B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Direct SCell activation at handover with known SCell in FR1</w:t>
      </w:r>
    </w:p>
    <w:p w14:paraId="4FCE5C6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Fast SCell Activation of known SCell in FR1 in non-DRX for 160 ms SCell measurement cycle</w:t>
      </w:r>
    </w:p>
    <w:p w14:paraId="32671EB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Fast SCell Activation of known SCell in FR1 in non-DRX for 640 ms SCell measurement cycle</w:t>
      </w:r>
    </w:p>
    <w:p w14:paraId="6DDFEBA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SCell Activation of unknown SCell with valid L3 measurement results in FR1 in non-DRX for 160 ms SCell measurement cycle</w:t>
      </w:r>
    </w:p>
    <w:p w14:paraId="1653B7E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TRS based SCell Activation of SSB-less SCell in FR1 inter-band CA in non-DRX</w:t>
      </w:r>
    </w:p>
    <w:p w14:paraId="425ACA2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Inter-band SSB-less SCell Activation based on A-TRS</w:t>
      </w:r>
    </w:p>
    <w:p w14:paraId="7F788FF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Beam Failure Detection and Link Recovery Test for FR1 SCell configured with CSI-RS-based BFD and SSB-based LR in non-DRX mode</w:t>
      </w:r>
    </w:p>
    <w:p w14:paraId="320B9DD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Simultaneous DCI-based and Timer-based Active BWP Switch on multiple CCs</w:t>
      </w:r>
    </w:p>
    <w:p w14:paraId="0C9BF33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Simultaneous RRC-based Active BWP Switch on multiple CCs</w:t>
      </w:r>
    </w:p>
    <w:p w14:paraId="7DA6D34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SCell dormancy switch</w:t>
      </w:r>
    </w:p>
    <w:p w14:paraId="4A15719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Event triggered reporting on SCC with deactivated SCell test under non-DRX</w:t>
      </w:r>
    </w:p>
    <w:p w14:paraId="6C200236">
      <w:pPr>
        <w:spacing w:before="60"/>
        <w:jc w:val="both"/>
        <w:rPr>
          <w:rFonts w:hint="eastAsia"/>
          <w:b/>
          <w:i/>
          <w:iCs/>
          <w:sz w:val="20"/>
          <w:szCs w:val="20"/>
        </w:rPr>
      </w:pPr>
      <w:r>
        <w:rPr>
          <w:rFonts w:hint="eastAsia"/>
          <w:b/>
          <w:i/>
          <w:iCs/>
          <w:sz w:val="20"/>
          <w:szCs w:val="20"/>
        </w:rPr>
        <w:t xml:space="preserve">Proposal </w:t>
      </w:r>
      <w:r>
        <w:rPr>
          <w:rFonts w:hint="eastAsia"/>
          <w:b/>
          <w:i/>
          <w:iCs/>
          <w:sz w:val="20"/>
          <w:szCs w:val="20"/>
          <w:lang w:val="en-US" w:eastAsia="zh-CN"/>
        </w:rPr>
        <w:t>5</w:t>
      </w:r>
      <w:r>
        <w:rPr>
          <w:rFonts w:hint="eastAsia"/>
          <w:b/>
          <w:i/>
          <w:iCs/>
          <w:sz w:val="20"/>
          <w:szCs w:val="20"/>
        </w:rPr>
        <w:t>: Define following test cases for ATG</w:t>
      </w:r>
      <w:r>
        <w:rPr>
          <w:rFonts w:hint="eastAsia"/>
          <w:b/>
          <w:i/>
          <w:iCs/>
          <w:sz w:val="20"/>
          <w:szCs w:val="20"/>
          <w:lang w:val="en-US" w:eastAsia="zh-CN"/>
        </w:rPr>
        <w:t>, related legacy TCs can be referred</w:t>
      </w:r>
      <w:r>
        <w:rPr>
          <w:rFonts w:hint="eastAsia"/>
          <w:b/>
          <w:i/>
          <w:iCs/>
          <w:sz w:val="20"/>
          <w:szCs w:val="20"/>
        </w:rPr>
        <w:t>:</w:t>
      </w:r>
    </w:p>
    <w:p w14:paraId="6F07D88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Interruptions during measurements on deactivated NR SCC in FR1</w:t>
      </w:r>
    </w:p>
    <w:p w14:paraId="2FF0CBF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Introduce interruption requirement at SRS antenna port switching with 1 SRS symbol in a slot</w:t>
      </w:r>
    </w:p>
    <w:p w14:paraId="7053D7F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Introduce interruption requirement at SRS antenna port switching with more than 1 SRS symbol in a slot</w:t>
      </w:r>
    </w:p>
    <w:p w14:paraId="26EDC8B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and deactivation of known SCell in FR1 in non-DRX for 160 ms SCell measurement cycle</w:t>
      </w:r>
    </w:p>
    <w:p w14:paraId="0FB8B1E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and deactivation of known SCell in FR1 in non-DRX for 640 ms SCell measurement cycle</w:t>
      </w:r>
    </w:p>
    <w:p w14:paraId="08709BF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and deactivation of unknown SCell in FR1 in non-DRX</w:t>
      </w:r>
    </w:p>
    <w:p w14:paraId="7E8EAA8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Direct SCell activation at SCell addition of known SCell in FR1</w:t>
      </w:r>
    </w:p>
    <w:p w14:paraId="54C6AEA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Direct SCell activation at handover with known SCell in FR1</w:t>
      </w:r>
    </w:p>
    <w:p w14:paraId="4C882BD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Fast SCell Activation of known SCell in FR1 in non-DRX for 160 ms SCell measurement cycle</w:t>
      </w:r>
    </w:p>
    <w:p w14:paraId="329BC83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Fast SCell Activation of known SCell in FR1 in non-DRX for 640 ms SCell measurement cycle</w:t>
      </w:r>
    </w:p>
    <w:p w14:paraId="7F4AC7A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of unknown SCell with valid L3 measurement results in FR1 in non-DRX for 160 ms SCell measurement cycle</w:t>
      </w:r>
    </w:p>
    <w:p w14:paraId="3115C79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TRS based SCell Activation of SSB-less SCell in FR1 inter-band CA in non-DRX</w:t>
      </w:r>
    </w:p>
    <w:p w14:paraId="5BF5336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Inter-band SSB-less SCell Activation based on A-TRS</w:t>
      </w:r>
    </w:p>
    <w:p w14:paraId="1EE3887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Beam Failure Detection and Link Recovery Test for FR1 SCell configured with CSI-RS-based BFD and SSB-based LR in non-DRX mode</w:t>
      </w:r>
    </w:p>
    <w:p w14:paraId="42D6186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Simultaneous DCI-based and Timer-based Active BWP Switch on multiple CCs</w:t>
      </w:r>
    </w:p>
    <w:p w14:paraId="572ECB2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Simultaneous RRC-based Active BWP Switch on multiple CCs</w:t>
      </w:r>
    </w:p>
    <w:p w14:paraId="3FBF12B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dormancy switch</w:t>
      </w:r>
    </w:p>
    <w:p w14:paraId="0F24C20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Event triggered reporting on SCC with deactivated SCell test under non-DRX</w:t>
      </w:r>
    </w:p>
    <w:p w14:paraId="250A8FDF">
      <w:pPr>
        <w:spacing w:before="60"/>
        <w:jc w:val="both"/>
        <w:rPr>
          <w:rFonts w:eastAsia="宋体"/>
          <w:sz w:val="20"/>
          <w:szCs w:val="20"/>
        </w:rPr>
      </w:pPr>
    </w:p>
    <w:p w14:paraId="26600BD1">
      <w:pPr>
        <w:spacing w:before="60"/>
        <w:jc w:val="both"/>
        <w:rPr>
          <w:rFonts w:hint="eastAsia" w:eastAsia="宋体"/>
          <w:sz w:val="20"/>
          <w:szCs w:val="20"/>
          <w:lang w:val="en-US" w:eastAsia="zh-CN"/>
        </w:rPr>
      </w:pPr>
      <w:r>
        <w:rPr>
          <w:rFonts w:hint="eastAsia" w:eastAsia="宋体"/>
          <w:sz w:val="20"/>
          <w:szCs w:val="20"/>
          <w:lang w:val="en-US" w:eastAsia="zh-CN"/>
        </w:rPr>
        <w:t>Besides, for the following core requirements, currently, there are no TCs in the spec or ATG perf spec:</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8"/>
        <w:gridCol w:w="4668"/>
      </w:tblGrid>
      <w:tr w14:paraId="1A79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192CD19D">
            <w:pPr>
              <w:widowControl w:val="0"/>
              <w:spacing w:before="60"/>
              <w:jc w:val="center"/>
              <w:rPr>
                <w:rFonts w:hint="default" w:eastAsia="宋体"/>
                <w:b/>
                <w:bCs/>
                <w:color w:val="auto"/>
                <w:sz w:val="20"/>
                <w:szCs w:val="20"/>
                <w:lang w:val="en-US" w:eastAsia="zh-CN"/>
              </w:rPr>
            </w:pPr>
            <w:r>
              <w:rPr>
                <w:rFonts w:hint="eastAsia" w:eastAsia="宋体"/>
                <w:b/>
                <w:bCs/>
                <w:color w:val="auto"/>
                <w:sz w:val="20"/>
                <w:szCs w:val="20"/>
                <w:lang w:val="en-US" w:eastAsia="zh-CN"/>
              </w:rPr>
              <w:t>Test scope</w:t>
            </w:r>
          </w:p>
        </w:tc>
        <w:tc>
          <w:tcPr>
            <w:tcW w:w="4668" w:type="dxa"/>
          </w:tcPr>
          <w:p w14:paraId="2D474C94">
            <w:pPr>
              <w:widowControl w:val="0"/>
              <w:spacing w:before="60"/>
              <w:jc w:val="center"/>
              <w:rPr>
                <w:rFonts w:hint="default" w:eastAsia="宋体"/>
                <w:b/>
                <w:bCs/>
                <w:sz w:val="20"/>
                <w:szCs w:val="20"/>
                <w:vertAlign w:val="baseline"/>
                <w:lang w:val="en-US" w:eastAsia="zh-CN"/>
              </w:rPr>
            </w:pPr>
            <w:r>
              <w:rPr>
                <w:rFonts w:hint="eastAsia" w:eastAsia="宋体"/>
                <w:b/>
                <w:bCs/>
                <w:sz w:val="20"/>
                <w:szCs w:val="20"/>
                <w:vertAlign w:val="baseline"/>
                <w:lang w:val="en-US" w:eastAsia="zh-CN"/>
              </w:rPr>
              <w:t>Comments</w:t>
            </w:r>
          </w:p>
        </w:tc>
      </w:tr>
      <w:tr w14:paraId="476E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7820DD8C">
            <w:pPr>
              <w:widowControl w:val="0"/>
              <w:spacing w:before="60"/>
              <w:jc w:val="both"/>
              <w:rPr>
                <w:rFonts w:hint="default" w:eastAsia="宋体"/>
                <w:sz w:val="20"/>
                <w:szCs w:val="20"/>
                <w:vertAlign w:val="baseline"/>
                <w:lang w:val="en-US" w:eastAsia="zh-CN"/>
              </w:rPr>
            </w:pPr>
            <w:r>
              <w:rPr>
                <w:rFonts w:hint="eastAsia" w:eastAsia="宋体"/>
                <w:color w:val="auto"/>
                <w:sz w:val="20"/>
                <w:szCs w:val="20"/>
                <w:lang w:val="en-US" w:eastAsia="zh-CN"/>
              </w:rPr>
              <w:t>Direct SCell Activation at RRC Resume</w:t>
            </w:r>
          </w:p>
        </w:tc>
        <w:tc>
          <w:tcPr>
            <w:tcW w:w="4668" w:type="dxa"/>
          </w:tcPr>
          <w:p w14:paraId="03E12F78">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legacy TN spec</w:t>
            </w:r>
          </w:p>
        </w:tc>
      </w:tr>
      <w:tr w14:paraId="0DD5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2E68AEA4">
            <w:pPr>
              <w:widowControl w:val="0"/>
              <w:spacing w:before="60"/>
              <w:jc w:val="both"/>
              <w:rPr>
                <w:rFonts w:hint="default" w:eastAsia="宋体"/>
                <w:sz w:val="20"/>
                <w:szCs w:val="20"/>
                <w:vertAlign w:val="baseline"/>
                <w:lang w:val="en-US" w:eastAsia="zh-CN"/>
              </w:rPr>
            </w:pPr>
            <w:r>
              <w:rPr>
                <w:rFonts w:hint="eastAsia" w:eastAsia="宋体"/>
                <w:sz w:val="20"/>
                <w:szCs w:val="20"/>
                <w:lang w:val="en-US" w:eastAsia="zh-CN"/>
              </w:rPr>
              <w:t>non-simultaneous Timer based BWP switch delay on multiple CCs</w:t>
            </w:r>
          </w:p>
        </w:tc>
        <w:tc>
          <w:tcPr>
            <w:tcW w:w="4668" w:type="dxa"/>
          </w:tcPr>
          <w:p w14:paraId="16092321">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legacy TN spec</w:t>
            </w:r>
          </w:p>
        </w:tc>
      </w:tr>
      <w:tr w14:paraId="0B81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69408C12">
            <w:pPr>
              <w:widowControl w:val="0"/>
              <w:spacing w:before="60"/>
              <w:jc w:val="both"/>
              <w:rPr>
                <w:rFonts w:hint="default" w:eastAsia="宋体"/>
                <w:sz w:val="20"/>
                <w:szCs w:val="20"/>
                <w:vertAlign w:val="baseline"/>
                <w:lang w:val="en-US" w:eastAsia="zh-CN"/>
              </w:rPr>
            </w:pPr>
            <w:r>
              <w:rPr>
                <w:rFonts w:hint="default" w:eastAsia="宋体"/>
                <w:sz w:val="20"/>
                <w:szCs w:val="20"/>
                <w:vertAlign w:val="baseline"/>
                <w:lang w:val="en-US" w:eastAsia="zh-CN"/>
              </w:rPr>
              <w:t>Pre-configured measurement gap requirement</w:t>
            </w:r>
          </w:p>
        </w:tc>
        <w:tc>
          <w:tcPr>
            <w:tcW w:w="4668" w:type="dxa"/>
          </w:tcPr>
          <w:p w14:paraId="7A7B2DD7">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R18 ATG spec</w:t>
            </w:r>
          </w:p>
        </w:tc>
      </w:tr>
      <w:tr w14:paraId="252A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116B4F24">
            <w:pPr>
              <w:widowControl w:val="0"/>
              <w:spacing w:before="60"/>
              <w:jc w:val="both"/>
              <w:rPr>
                <w:rFonts w:hint="default" w:eastAsia="宋体"/>
                <w:sz w:val="20"/>
                <w:szCs w:val="20"/>
                <w:vertAlign w:val="baseline"/>
                <w:lang w:val="en-US" w:eastAsia="zh-CN"/>
              </w:rPr>
            </w:pPr>
            <w:r>
              <w:rPr>
                <w:rFonts w:hint="default" w:eastAsia="宋体"/>
                <w:sz w:val="20"/>
                <w:szCs w:val="20"/>
                <w:vertAlign w:val="baseline"/>
                <w:lang w:val="en-US" w:eastAsia="zh-CN"/>
              </w:rPr>
              <w:t>Deactivated SCell measurement</w:t>
            </w:r>
          </w:p>
        </w:tc>
        <w:tc>
          <w:tcPr>
            <w:tcW w:w="4668" w:type="dxa"/>
          </w:tcPr>
          <w:p w14:paraId="46DAD1DC">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legacy TN spec</w:t>
            </w:r>
          </w:p>
        </w:tc>
      </w:tr>
    </w:tbl>
    <w:p w14:paraId="05F55319">
      <w:pPr>
        <w:spacing w:before="60"/>
        <w:jc w:val="both"/>
        <w:rPr>
          <w:rFonts w:hint="eastAsia"/>
          <w:b/>
          <w:i/>
          <w:iCs/>
          <w:sz w:val="20"/>
          <w:szCs w:val="20"/>
          <w:lang w:val="en-US" w:eastAsia="zh-CN"/>
        </w:rPr>
      </w:pPr>
      <w:bookmarkStart w:id="14" w:name="OLE_LINK9"/>
      <w:r>
        <w:rPr>
          <w:rFonts w:hint="eastAsia"/>
          <w:b/>
          <w:i/>
          <w:iCs/>
          <w:sz w:val="20"/>
          <w:szCs w:val="20"/>
          <w:lang w:val="en-US" w:eastAsia="zh-CN"/>
        </w:rPr>
        <w:t>Observation 1: No TC in legacy TN spec or ATG perf spec for the following core requirements:</w:t>
      </w:r>
    </w:p>
    <w:p w14:paraId="4FD6C67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69EB101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2F6A74D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405AB10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Deactivated SCell measurement</w:t>
      </w:r>
    </w:p>
    <w:bookmarkEnd w:id="14"/>
    <w:p w14:paraId="3A2D681A">
      <w:pPr>
        <w:spacing w:before="60"/>
        <w:jc w:val="both"/>
        <w:rPr>
          <w:rFonts w:hint="eastAsia" w:eastAsia="宋体"/>
          <w:sz w:val="20"/>
          <w:szCs w:val="20"/>
          <w:lang w:val="en-US" w:eastAsia="zh-CN"/>
        </w:rPr>
      </w:pPr>
      <w:r>
        <w:rPr>
          <w:rFonts w:hint="eastAsia" w:eastAsia="宋体"/>
          <w:sz w:val="20"/>
          <w:szCs w:val="20"/>
          <w:lang w:val="en-US" w:eastAsia="zh-CN"/>
        </w:rPr>
        <w:t>Among them, we think it is important to introduce the test case for Deactivation SCell measurement, for the others, we are open to further discuss.</w:t>
      </w:r>
    </w:p>
    <w:p w14:paraId="28C3B5D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Define test case for </w:t>
      </w:r>
      <w:r>
        <w:rPr>
          <w:rFonts w:hint="eastAsia" w:eastAsia="宋体"/>
          <w:b/>
          <w:i/>
          <w:iCs/>
          <w:sz w:val="20"/>
          <w:szCs w:val="20"/>
          <w:lang w:val="en-US" w:eastAsia="zh-CN"/>
        </w:rPr>
        <w:t>d</w:t>
      </w:r>
      <w:r>
        <w:rPr>
          <w:rFonts w:hint="default" w:eastAsia="宋体" w:cs="Times New Roman"/>
          <w:b/>
          <w:bCs/>
          <w:i/>
          <w:iCs/>
          <w:color w:val="auto"/>
          <w:sz w:val="20"/>
          <w:szCs w:val="20"/>
          <w:lang w:val="en-US" w:eastAsia="zh-CN"/>
        </w:rPr>
        <w:t>eactivated SCell measurement</w:t>
      </w:r>
      <w:r>
        <w:rPr>
          <w:rFonts w:hint="eastAsia" w:eastAsia="宋体" w:cs="Times New Roman"/>
          <w:b/>
          <w:bCs/>
          <w:i/>
          <w:iCs/>
          <w:color w:val="auto"/>
          <w:sz w:val="20"/>
          <w:szCs w:val="20"/>
          <w:lang w:val="en-US" w:eastAsia="zh-CN"/>
        </w:rPr>
        <w:t xml:space="preserve"> requirement</w:t>
      </w:r>
    </w:p>
    <w:p w14:paraId="4253F5C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7: Open to discuss whether define test cases for the following core requirement</w:t>
      </w:r>
    </w:p>
    <w:p w14:paraId="6D4FB1D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0250991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2148254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70406C48">
      <w:pPr>
        <w:spacing w:before="60"/>
        <w:jc w:val="both"/>
        <w:rPr>
          <w:rFonts w:hint="default" w:eastAsia="宋体"/>
          <w:sz w:val="20"/>
          <w:szCs w:val="20"/>
          <w:lang w:val="en-US" w:eastAsia="zh-CN"/>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57DD83A5">
      <w:pPr>
        <w:keepNext w:val="0"/>
        <w:keepLines w:val="0"/>
        <w:pageBreakBefore w:val="0"/>
        <w:widowControl/>
        <w:kinsoku/>
        <w:wordWrap/>
        <w:overflowPunct/>
        <w:topLinePunct w:val="0"/>
        <w:autoSpaceDE/>
        <w:autoSpaceDN/>
        <w:bidi w:val="0"/>
        <w:adjustRightInd/>
        <w:snapToGrid/>
        <w:spacing w:before="60" w:after="60"/>
        <w:jc w:val="both"/>
        <w:textAlignment w:val="auto"/>
        <w:rPr>
          <w:b/>
          <w:i/>
          <w:iCs/>
          <w:sz w:val="20"/>
          <w:szCs w:val="20"/>
        </w:rPr>
      </w:pPr>
      <w:r>
        <w:rPr>
          <w:rFonts w:hint="eastAsia"/>
          <w:b/>
          <w:i/>
          <w:iCs/>
          <w:sz w:val="20"/>
          <w:szCs w:val="20"/>
        </w:rPr>
        <w:t xml:space="preserve">Proposal 1: </w:t>
      </w:r>
      <w:r>
        <w:rPr>
          <w:rFonts w:hint="eastAsia"/>
          <w:b/>
          <w:i/>
          <w:iCs/>
          <w:sz w:val="20"/>
          <w:szCs w:val="20"/>
          <w:lang w:val="en-US" w:eastAsia="zh-CN"/>
        </w:rPr>
        <w:t>For ATG L1/L3 measurement of SCell/SCC, r</w:t>
      </w:r>
      <w:r>
        <w:rPr>
          <w:rFonts w:hint="eastAsia"/>
          <w:b/>
          <w:i/>
          <w:iCs/>
          <w:sz w:val="20"/>
          <w:szCs w:val="20"/>
        </w:rPr>
        <w:t>euse the Es/Iot side condition and measurement accuracy requirement of legacy TN network.</w:t>
      </w:r>
    </w:p>
    <w:p w14:paraId="2A8A8CF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i/>
          <w:iCs/>
          <w:sz w:val="20"/>
          <w:szCs w:val="20"/>
          <w:lang w:val="en-US" w:eastAsia="zh-CN"/>
        </w:rPr>
        <w:t>Following three test configurations are supported for both PCell and SCell:</w:t>
      </w:r>
    </w:p>
    <w:p w14:paraId="073115E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Configuration 1:15kHz SSB SCS, 10MHz bandwidth, FDD duplex mode</w:t>
      </w:r>
    </w:p>
    <w:p w14:paraId="15A7730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Configuration 2: 30kHz SSB SCS, 40MHz bandwidth, TDD duplex mode</w:t>
      </w:r>
    </w:p>
    <w:p w14:paraId="05CD051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Configuration 3: 15kHz SSB SCS, 10MHz bandwidth, TDD duplex mode</w:t>
      </w:r>
    </w:p>
    <w:p w14:paraId="7320819E">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If legacy TN test cases don</w:t>
      </w:r>
      <w:r>
        <w:rPr>
          <w:rFonts w:hint="default" w:eastAsia="宋体" w:cs="Times New Roman"/>
          <w:b/>
          <w:bCs/>
          <w:i/>
          <w:iCs/>
          <w:color w:val="auto"/>
          <w:sz w:val="20"/>
          <w:szCs w:val="20"/>
          <w:lang w:val="en-US" w:eastAsia="zh-CN"/>
        </w:rPr>
        <w:t>’</w:t>
      </w:r>
      <w:r>
        <w:rPr>
          <w:rFonts w:hint="eastAsia" w:eastAsia="宋体" w:cs="Times New Roman"/>
          <w:b/>
          <w:bCs/>
          <w:i/>
          <w:iCs/>
          <w:color w:val="auto"/>
          <w:sz w:val="20"/>
          <w:szCs w:val="20"/>
          <w:lang w:val="en-US" w:eastAsia="zh-CN"/>
        </w:rPr>
        <w:t>t have this test configuration, then no need to introduce it into the corresponding ATG test cases.</w:t>
      </w:r>
    </w:p>
    <w:p w14:paraId="556D084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3: Introduce following test applicability rule:</w:t>
      </w:r>
    </w:p>
    <w:p w14:paraId="4636FA6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UE is only required to be tested in one of the supported test configurations</w:t>
      </w:r>
    </w:p>
    <w:p w14:paraId="2823A7D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UE is only required to be tested in one with smallest aggregated channel bandwidth from supported band combinations which is composed of CCs </w:t>
      </w:r>
      <w:r>
        <w:rPr>
          <w:rFonts w:hint="default" w:ascii="Arial" w:hAnsi="Arial" w:eastAsia="宋体" w:cs="Arial"/>
          <w:b/>
          <w:bCs/>
          <w:i/>
          <w:iCs/>
          <w:color w:val="auto"/>
          <w:sz w:val="20"/>
          <w:szCs w:val="20"/>
          <w:lang w:val="en-US" w:eastAsia="zh-CN"/>
        </w:rPr>
        <w:t>≥</w:t>
      </w:r>
      <w:r>
        <w:rPr>
          <w:rFonts w:hint="eastAsia" w:eastAsia="宋体" w:cs="Times New Roman"/>
          <w:b/>
          <w:bCs/>
          <w:i/>
          <w:iCs/>
          <w:color w:val="auto"/>
          <w:sz w:val="20"/>
          <w:szCs w:val="20"/>
          <w:lang w:val="en-US" w:eastAsia="zh-CN"/>
        </w:rPr>
        <w:t xml:space="preserve"> the bandwidth (BW</w:t>
      </w:r>
      <w:r>
        <w:rPr>
          <w:rFonts w:hint="eastAsia" w:eastAsia="宋体" w:cs="Times New Roman"/>
          <w:b/>
          <w:bCs/>
          <w:i/>
          <w:iCs/>
          <w:color w:val="auto"/>
          <w:sz w:val="20"/>
          <w:szCs w:val="20"/>
          <w:vertAlign w:val="subscript"/>
          <w:lang w:val="en-US" w:eastAsia="zh-CN"/>
        </w:rPr>
        <w:t>channel</w:t>
      </w:r>
      <w:r>
        <w:rPr>
          <w:rFonts w:hint="eastAsia" w:eastAsia="宋体" w:cs="Times New Roman"/>
          <w:b/>
          <w:bCs/>
          <w:i/>
          <w:iCs/>
          <w:color w:val="auto"/>
          <w:sz w:val="20"/>
          <w:szCs w:val="20"/>
          <w:lang w:val="en-US" w:eastAsia="zh-CN"/>
        </w:rPr>
        <w:t>) defined in each test configuration</w:t>
      </w:r>
    </w:p>
    <w:p w14:paraId="5B38E95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4: Following test setups agreed in R18 can be reused:</w:t>
      </w:r>
    </w:p>
    <w:p w14:paraId="1F637DF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TDD pattern: The legacy TDD pattern are used</w:t>
      </w:r>
    </w:p>
    <w:p w14:paraId="62F066B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ko-KR"/>
        </w:rPr>
        <w:t>RMC</w:t>
      </w:r>
      <w:r>
        <w:rPr>
          <w:rFonts w:hint="eastAsia" w:eastAsia="宋体" w:cs="Times New Roman"/>
          <w:b/>
          <w:bCs/>
          <w:i/>
          <w:iCs/>
          <w:color w:val="auto"/>
          <w:sz w:val="20"/>
          <w:szCs w:val="20"/>
          <w:lang w:val="en-US" w:eastAsia="zh-CN"/>
        </w:rPr>
        <w:t xml:space="preserve">: </w:t>
      </w:r>
      <w:r>
        <w:rPr>
          <w:rFonts w:hint="default" w:eastAsia="宋体" w:cs="Times New Roman"/>
          <w:b/>
          <w:bCs/>
          <w:i/>
          <w:iCs/>
          <w:color w:val="auto"/>
          <w:sz w:val="20"/>
          <w:szCs w:val="20"/>
          <w:lang w:val="en-US" w:eastAsia="zh-CN"/>
        </w:rPr>
        <w:t>the legacy NR RMCs defined in section A.3.1 of TS 38.133 are reused for ATG test cases.</w:t>
      </w:r>
    </w:p>
    <w:p w14:paraId="5E01248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ko-KR"/>
        </w:rPr>
        <w:t>OCNG</w:t>
      </w:r>
      <w:r>
        <w:rPr>
          <w:rFonts w:hint="eastAsia" w:eastAsia="宋体" w:cs="Times New Roman"/>
          <w:b/>
          <w:bCs/>
          <w:i/>
          <w:iCs/>
          <w:color w:val="auto"/>
          <w:sz w:val="20"/>
          <w:szCs w:val="20"/>
          <w:lang w:val="en-US" w:eastAsia="zh-CN"/>
        </w:rPr>
        <w:t xml:space="preserve">: </w:t>
      </w:r>
    </w:p>
    <w:p w14:paraId="48EACA65">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Generic OCNG pattern for all unused REs defined in A.3.2.1.1 in TS 38.133.</w:t>
      </w:r>
    </w:p>
    <w:p w14:paraId="3572F310">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Generic OCNG pattern for unused REs in the same bandwidth as CORESET defined in A.3.2.1.3 of TS 38.133.</w:t>
      </w:r>
    </w:p>
    <w:p w14:paraId="4434311E">
      <w:pPr>
        <w:pStyle w:val="13"/>
        <w:keepNext w:val="0"/>
        <w:keepLines w:val="0"/>
        <w:pageBreakBefore w:val="0"/>
        <w:widowControl/>
        <w:numPr>
          <w:ilvl w:val="1"/>
          <w:numId w:val="3"/>
        </w:numPr>
        <w:kinsoku/>
        <w:wordWrap/>
        <w:overflowPunct/>
        <w:topLinePunct w:val="0"/>
        <w:autoSpaceDE/>
        <w:autoSpaceDN/>
        <w:bidi w:val="0"/>
        <w:adjustRightInd/>
        <w:snapToGrid/>
        <w:spacing w:before="60" w:after="60"/>
        <w:ind w:left="78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Generic OCNG pattern for all unused REs outside SSB slot(s) defined in A.3.2.1.4 in TS 38.133</w:t>
      </w:r>
    </w:p>
    <w:p w14:paraId="78D389D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Number of neighbour cells: one neighbour cell in the test if needed</w:t>
      </w:r>
    </w:p>
    <w:p w14:paraId="21C92EC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Channel model: AWGN with residual doppler channel model</w:t>
      </w:r>
    </w:p>
    <w:p w14:paraId="138EE5F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GNSS and UE mobility setup: </w:t>
      </w:r>
      <w:r>
        <w:rPr>
          <w:rFonts w:hint="default" w:eastAsia="宋体" w:cs="Times New Roman"/>
          <w:b/>
          <w:bCs/>
          <w:i/>
          <w:iCs/>
          <w:color w:val="auto"/>
          <w:sz w:val="20"/>
          <w:szCs w:val="20"/>
          <w:lang w:val="en-US" w:eastAsia="zh-CN"/>
        </w:rPr>
        <w:t>UE positioning and UE speed are set by AT command. UE speed is 0km/h, UE specific positioning is emulated by test system.</w:t>
      </w:r>
    </w:p>
    <w:p w14:paraId="03A5058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b/>
          <w:bCs/>
          <w:i/>
          <w:iCs/>
          <w:sz w:val="20"/>
          <w:szCs w:val="20"/>
          <w:u w:val="single"/>
        </w:rPr>
      </w:pPr>
      <w:r>
        <w:rPr>
          <w:rFonts w:hint="eastAsia" w:eastAsia="宋体" w:cs="Times New Roman"/>
          <w:b/>
          <w:bCs/>
          <w:i/>
          <w:iCs/>
          <w:color w:val="auto"/>
          <w:sz w:val="20"/>
          <w:szCs w:val="20"/>
          <w:lang w:val="en-US" w:eastAsia="zh-CN"/>
        </w:rPr>
        <w:t xml:space="preserve">BS location: </w:t>
      </w:r>
      <w:r>
        <w:rPr>
          <w:rFonts w:hint="default" w:eastAsia="宋体" w:cs="Times New Roman"/>
          <w:b/>
          <w:bCs/>
          <w:i/>
          <w:iCs/>
          <w:color w:val="auto"/>
          <w:sz w:val="20"/>
          <w:szCs w:val="20"/>
          <w:lang w:val="en-US" w:eastAsia="zh-CN"/>
        </w:rPr>
        <w:t>The specific gNB reference location is emulated by test system</w:t>
      </w:r>
    </w:p>
    <w:p w14:paraId="2D16F51A">
      <w:pPr>
        <w:spacing w:before="60"/>
        <w:jc w:val="both"/>
        <w:rPr>
          <w:rFonts w:hint="eastAsia"/>
          <w:b/>
          <w:i/>
          <w:iCs/>
          <w:sz w:val="20"/>
          <w:szCs w:val="20"/>
        </w:rPr>
      </w:pPr>
      <w:r>
        <w:rPr>
          <w:rFonts w:hint="eastAsia"/>
          <w:b/>
          <w:i/>
          <w:iCs/>
          <w:sz w:val="20"/>
          <w:szCs w:val="20"/>
        </w:rPr>
        <w:t xml:space="preserve">Proposal </w:t>
      </w:r>
      <w:r>
        <w:rPr>
          <w:rFonts w:hint="eastAsia"/>
          <w:b/>
          <w:i/>
          <w:iCs/>
          <w:sz w:val="20"/>
          <w:szCs w:val="20"/>
          <w:lang w:val="en-US" w:eastAsia="zh-CN"/>
        </w:rPr>
        <w:t>5</w:t>
      </w:r>
      <w:r>
        <w:rPr>
          <w:rFonts w:hint="eastAsia"/>
          <w:b/>
          <w:i/>
          <w:iCs/>
          <w:sz w:val="20"/>
          <w:szCs w:val="20"/>
        </w:rPr>
        <w:t>: Define following test cases for ATG</w:t>
      </w:r>
      <w:r>
        <w:rPr>
          <w:rFonts w:hint="eastAsia"/>
          <w:b/>
          <w:i/>
          <w:iCs/>
          <w:sz w:val="20"/>
          <w:szCs w:val="20"/>
          <w:lang w:val="en-US" w:eastAsia="zh-CN"/>
        </w:rPr>
        <w:t>, related legacy TCs can be referred</w:t>
      </w:r>
      <w:r>
        <w:rPr>
          <w:rFonts w:hint="eastAsia"/>
          <w:b/>
          <w:i/>
          <w:iCs/>
          <w:sz w:val="20"/>
          <w:szCs w:val="20"/>
        </w:rPr>
        <w:t>:</w:t>
      </w:r>
    </w:p>
    <w:p w14:paraId="1E0F06D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Interruptions during measurements on deactivated NR SCC in FR1</w:t>
      </w:r>
    </w:p>
    <w:p w14:paraId="2B1219C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Introduce interruption requirement at SRS antenna port switching with 1 SRS symbol in a slot</w:t>
      </w:r>
    </w:p>
    <w:p w14:paraId="45F34F4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Introduce interruption requirement at SRS antenna port switching with more than 1 SRS symbol in a slot</w:t>
      </w:r>
    </w:p>
    <w:p w14:paraId="5C030F1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and deactivation of known SCell in FR1 in non-DRX for 160 ms SCell measurement cycle</w:t>
      </w:r>
    </w:p>
    <w:p w14:paraId="7EE6D3F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and deactivation of known SCell in FR1 in non-DRX for 640 ms SCell measurement cycle</w:t>
      </w:r>
    </w:p>
    <w:p w14:paraId="6364F6C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and deactivation of unknown SCell in FR1 in non-DRX</w:t>
      </w:r>
    </w:p>
    <w:p w14:paraId="41940E2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Direct SCell activation at SCell addition of known SCell in FR1</w:t>
      </w:r>
    </w:p>
    <w:p w14:paraId="1C2BCC4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Direct SCell activation at handover with known SCell in FR1</w:t>
      </w:r>
    </w:p>
    <w:p w14:paraId="14103E1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Fast SCell Activation of known SCell in FR1 in non-DRX for 160 ms SCell measurement cycle</w:t>
      </w:r>
    </w:p>
    <w:p w14:paraId="52B79A2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Fast SCell Activation of known SCell in FR1 in non-DRX for 640 ms SCell measurement cycle</w:t>
      </w:r>
    </w:p>
    <w:p w14:paraId="1DD821E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Activation of unknown SCell with valid L3 measurement results in FR1 in non-DRX for 160 ms SCell measurement cycle</w:t>
      </w:r>
    </w:p>
    <w:p w14:paraId="2C6B6AB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TRS based SCell Activation of SSB-less SCell in FR1 inter-band CA in non-DRX</w:t>
      </w:r>
    </w:p>
    <w:p w14:paraId="39CD694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Inter-band SSB-less SCell Activation based on A-TRS</w:t>
      </w:r>
    </w:p>
    <w:p w14:paraId="7AAE59D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Beam Failure Detection and Link Recovery Test for FR1 SCell configured with CSI-RS-based BFD and SSB-based LR in non-DRX mode</w:t>
      </w:r>
    </w:p>
    <w:p w14:paraId="522EC8C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Simultaneous DCI-based and Timer-based Active BWP Switch on multiple CCs</w:t>
      </w:r>
    </w:p>
    <w:p w14:paraId="208C410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Simultaneous RRC-based Active BWP Switch on multiple CCs</w:t>
      </w:r>
    </w:p>
    <w:p w14:paraId="72909FC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SCell dormancy switch</w:t>
      </w:r>
    </w:p>
    <w:p w14:paraId="7F4E6394">
      <w:pPr>
        <w:spacing w:before="60"/>
        <w:rPr>
          <w:sz w:val="20"/>
          <w:szCs w:val="20"/>
        </w:rPr>
      </w:pPr>
      <w:r>
        <w:rPr>
          <w:rFonts w:hint="eastAsia" w:eastAsia="宋体" w:cs="Times New Roman"/>
          <w:b/>
          <w:bCs/>
          <w:i/>
          <w:iCs/>
          <w:color w:val="auto"/>
          <w:sz w:val="20"/>
          <w:szCs w:val="20"/>
          <w:lang w:val="en-US" w:eastAsia="zh-CN"/>
        </w:rPr>
        <w:t>Event triggered reporting on SCC with deactivated SCell test under non-DRX</w:t>
      </w:r>
    </w:p>
    <w:p w14:paraId="55A7812A">
      <w:pPr>
        <w:spacing w:before="60"/>
        <w:jc w:val="both"/>
        <w:rPr>
          <w:rFonts w:hint="eastAsia"/>
          <w:b/>
          <w:i/>
          <w:iCs/>
          <w:sz w:val="20"/>
          <w:szCs w:val="20"/>
          <w:lang w:val="en-US" w:eastAsia="zh-CN"/>
        </w:rPr>
      </w:pPr>
      <w:r>
        <w:rPr>
          <w:rFonts w:hint="eastAsia"/>
          <w:b/>
          <w:i/>
          <w:iCs/>
          <w:sz w:val="20"/>
          <w:szCs w:val="20"/>
          <w:lang w:val="en-US" w:eastAsia="zh-CN"/>
        </w:rPr>
        <w:t>Observation 1: No TC in legacy TN spec or ATG perf spec for the following core requirements:</w:t>
      </w:r>
    </w:p>
    <w:p w14:paraId="4D16B0B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2596662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4541477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27EBF65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Deactivated SCell measurement</w:t>
      </w:r>
    </w:p>
    <w:p w14:paraId="7F7077C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Define test case for </w:t>
      </w:r>
      <w:r>
        <w:rPr>
          <w:rFonts w:hint="eastAsia" w:eastAsia="宋体"/>
          <w:b/>
          <w:i/>
          <w:iCs/>
          <w:sz w:val="20"/>
          <w:szCs w:val="20"/>
          <w:lang w:val="en-US" w:eastAsia="zh-CN"/>
        </w:rPr>
        <w:t>d</w:t>
      </w:r>
      <w:r>
        <w:rPr>
          <w:rFonts w:hint="default" w:eastAsia="宋体" w:cs="Times New Roman"/>
          <w:b/>
          <w:bCs/>
          <w:i/>
          <w:iCs/>
          <w:color w:val="auto"/>
          <w:sz w:val="20"/>
          <w:szCs w:val="20"/>
          <w:lang w:val="en-US" w:eastAsia="zh-CN"/>
        </w:rPr>
        <w:t>eactivated SCell measurement</w:t>
      </w:r>
      <w:r>
        <w:rPr>
          <w:rFonts w:hint="eastAsia" w:eastAsia="宋体" w:cs="Times New Roman"/>
          <w:b/>
          <w:bCs/>
          <w:i/>
          <w:iCs/>
          <w:color w:val="auto"/>
          <w:sz w:val="20"/>
          <w:szCs w:val="20"/>
          <w:lang w:val="en-US" w:eastAsia="zh-CN"/>
        </w:rPr>
        <w:t xml:space="preserve"> requirement</w:t>
      </w:r>
    </w:p>
    <w:p w14:paraId="13B86DB4">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7: Open to discuss whether define test cases for the following core requirement</w:t>
      </w:r>
    </w:p>
    <w:p w14:paraId="25A73D3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61ECAFE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3FF10CC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CD1AD46">
      <w:pPr>
        <w:numPr>
          <w:ilvl w:val="0"/>
          <w:numId w:val="4"/>
        </w:numPr>
        <w:rPr>
          <w:sz w:val="20"/>
          <w:szCs w:val="20"/>
          <w:lang w:val="en-GB"/>
        </w:rPr>
      </w:pPr>
      <w:r>
        <w:rPr>
          <w:rFonts w:hint="eastAsia"/>
          <w:sz w:val="20"/>
          <w:szCs w:val="20"/>
        </w:rPr>
        <w:t>R4-2502591</w:t>
      </w:r>
      <w:r>
        <w:rPr>
          <w:rFonts w:hint="eastAsia"/>
          <w:sz w:val="20"/>
          <w:szCs w:val="20"/>
          <w:lang w:val="en-US" w:eastAsia="zh-CN"/>
        </w:rPr>
        <w:t>,</w:t>
      </w:r>
      <w:r>
        <w:rPr>
          <w:rFonts w:hint="eastAsia"/>
          <w:sz w:val="20"/>
          <w:szCs w:val="20"/>
        </w:rPr>
        <w:t xml:space="preserve"> WF on RRM requirements for NR_ATG_enh</w:t>
      </w:r>
      <w:r>
        <w:rPr>
          <w:rFonts w:hint="eastAsia"/>
          <w:sz w:val="20"/>
          <w:szCs w:val="20"/>
          <w:lang w:val="en-US" w:eastAsia="zh-CN"/>
        </w:rPr>
        <w:t>,</w:t>
      </w:r>
      <w:r>
        <w:rPr>
          <w:rFonts w:hint="eastAsia"/>
          <w:sz w:val="20"/>
          <w:szCs w:val="20"/>
        </w:rPr>
        <w:t xml:space="preserve"> CMCC</w:t>
      </w:r>
    </w:p>
    <w:p w14:paraId="4C258281">
      <w:pPr>
        <w:numPr>
          <w:ilvl w:val="0"/>
          <w:numId w:val="4"/>
        </w:numPr>
        <w:rPr>
          <w:sz w:val="20"/>
          <w:szCs w:val="20"/>
          <w:lang w:val="en-GB"/>
        </w:rPr>
      </w:pPr>
      <w:r>
        <w:rPr>
          <w:rFonts w:hint="eastAsia"/>
          <w:sz w:val="20"/>
          <w:szCs w:val="20"/>
          <w:lang w:val="en-GB"/>
        </w:rPr>
        <w:t>R4-2420237</w:t>
      </w:r>
      <w:r>
        <w:rPr>
          <w:rFonts w:hint="eastAsia"/>
          <w:sz w:val="20"/>
          <w:szCs w:val="20"/>
          <w:lang w:val="en-US" w:eastAsia="zh-CN"/>
        </w:rPr>
        <w:t>,</w:t>
      </w:r>
      <w:r>
        <w:rPr>
          <w:rFonts w:hint="eastAsia"/>
          <w:sz w:val="20"/>
          <w:szCs w:val="20"/>
          <w:lang w:val="en-GB"/>
        </w:rPr>
        <w:t xml:space="preserve"> WF on RRM requirements for NR_ATG_enh</w:t>
      </w:r>
      <w:r>
        <w:rPr>
          <w:rFonts w:hint="eastAsia"/>
          <w:sz w:val="20"/>
          <w:szCs w:val="20"/>
          <w:lang w:val="en-US" w:eastAsia="zh-CN"/>
        </w:rPr>
        <w:t>,</w:t>
      </w:r>
      <w:r>
        <w:rPr>
          <w:rFonts w:hint="eastAsia"/>
          <w:sz w:val="20"/>
          <w:szCs w:val="20"/>
        </w:rPr>
        <w:t xml:space="preserve"> CMCC</w:t>
      </w:r>
    </w:p>
    <w:p w14:paraId="64512F1A">
      <w:pPr>
        <w:numPr>
          <w:ilvl w:val="0"/>
          <w:numId w:val="4"/>
        </w:numPr>
        <w:rPr>
          <w:sz w:val="20"/>
          <w:szCs w:val="20"/>
          <w:lang w:val="en-GB"/>
        </w:rPr>
      </w:pPr>
      <w:r>
        <w:rPr>
          <w:rFonts w:hint="eastAsia"/>
          <w:sz w:val="20"/>
          <w:szCs w:val="20"/>
          <w:lang w:val="en-GB"/>
        </w:rPr>
        <w:t>R4-2416852</w:t>
      </w:r>
      <w:r>
        <w:rPr>
          <w:rFonts w:hint="eastAsia"/>
          <w:sz w:val="20"/>
          <w:szCs w:val="20"/>
          <w:lang w:val="en-US" w:eastAsia="zh-CN"/>
        </w:rPr>
        <w:t>,</w:t>
      </w:r>
      <w:r>
        <w:rPr>
          <w:rFonts w:hint="eastAsia"/>
          <w:sz w:val="20"/>
          <w:szCs w:val="20"/>
          <w:lang w:val="en-GB"/>
        </w:rPr>
        <w:t xml:space="preserve"> WF on RRM requirements for [112bis][208] NR_ATG_enh</w:t>
      </w:r>
      <w:r>
        <w:rPr>
          <w:rFonts w:hint="eastAsia"/>
          <w:sz w:val="20"/>
          <w:szCs w:val="20"/>
          <w:lang w:val="en-US" w:eastAsia="zh-CN"/>
        </w:rPr>
        <w:t>,</w:t>
      </w:r>
      <w:r>
        <w:rPr>
          <w:rFonts w:hint="eastAsia"/>
          <w:sz w:val="20"/>
          <w:szCs w:val="20"/>
        </w:rPr>
        <w:t xml:space="preserve"> CMCC</w:t>
      </w:r>
    </w:p>
    <w:p w14:paraId="34609E6D">
      <w:pPr>
        <w:numPr>
          <w:ilvl w:val="0"/>
          <w:numId w:val="4"/>
        </w:numPr>
        <w:rPr>
          <w:sz w:val="20"/>
          <w:szCs w:val="20"/>
          <w:lang w:val="en-GB"/>
        </w:rPr>
      </w:pPr>
      <w:r>
        <w:rPr>
          <w:rFonts w:hint="eastAsia"/>
          <w:sz w:val="20"/>
          <w:szCs w:val="20"/>
          <w:lang w:val="en-GB"/>
        </w:rPr>
        <w:t>R4-2413959</w:t>
      </w:r>
      <w:r>
        <w:rPr>
          <w:rFonts w:hint="eastAsia"/>
          <w:sz w:val="20"/>
          <w:szCs w:val="20"/>
          <w:lang w:val="en-US" w:eastAsia="zh-CN"/>
        </w:rPr>
        <w:t>, WF on RRM requirements for NR_ATG_enh,</w:t>
      </w:r>
      <w:r>
        <w:rPr>
          <w:rFonts w:hint="eastAsia"/>
          <w:sz w:val="20"/>
          <w:szCs w:val="20"/>
        </w:rPr>
        <w:t xml:space="preserve">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9D4A76"/>
    <w:rsid w:val="00D11DCE"/>
    <w:rsid w:val="00E56A55"/>
    <w:rsid w:val="03D86526"/>
    <w:rsid w:val="06F75AD2"/>
    <w:rsid w:val="07AC566B"/>
    <w:rsid w:val="07DD0BC7"/>
    <w:rsid w:val="09FB09F5"/>
    <w:rsid w:val="0F7A5B7B"/>
    <w:rsid w:val="0FDD3944"/>
    <w:rsid w:val="10464BC0"/>
    <w:rsid w:val="12046C67"/>
    <w:rsid w:val="17126F70"/>
    <w:rsid w:val="17747819"/>
    <w:rsid w:val="18BE4A43"/>
    <w:rsid w:val="18D9421B"/>
    <w:rsid w:val="19F05275"/>
    <w:rsid w:val="1B1501FB"/>
    <w:rsid w:val="1CE847F5"/>
    <w:rsid w:val="1D8706B3"/>
    <w:rsid w:val="1FCC1334"/>
    <w:rsid w:val="208F304C"/>
    <w:rsid w:val="23226087"/>
    <w:rsid w:val="24452905"/>
    <w:rsid w:val="25466E4D"/>
    <w:rsid w:val="296A26AA"/>
    <w:rsid w:val="2CE10DFC"/>
    <w:rsid w:val="2E18387E"/>
    <w:rsid w:val="335825D6"/>
    <w:rsid w:val="3ACE28A7"/>
    <w:rsid w:val="3C986043"/>
    <w:rsid w:val="3D9F061F"/>
    <w:rsid w:val="3EBD45F1"/>
    <w:rsid w:val="42A52A53"/>
    <w:rsid w:val="46066F60"/>
    <w:rsid w:val="46B10109"/>
    <w:rsid w:val="47506F6D"/>
    <w:rsid w:val="47B27DFC"/>
    <w:rsid w:val="47E53D33"/>
    <w:rsid w:val="4AFB201B"/>
    <w:rsid w:val="4C4B787D"/>
    <w:rsid w:val="4EEC4C43"/>
    <w:rsid w:val="505C7A00"/>
    <w:rsid w:val="51D83011"/>
    <w:rsid w:val="52A50065"/>
    <w:rsid w:val="54260228"/>
    <w:rsid w:val="59EF76A3"/>
    <w:rsid w:val="5BFF75C4"/>
    <w:rsid w:val="5EDF6D5C"/>
    <w:rsid w:val="5FC561E5"/>
    <w:rsid w:val="65FB1716"/>
    <w:rsid w:val="663A164A"/>
    <w:rsid w:val="6B934BAF"/>
    <w:rsid w:val="6F6A106F"/>
    <w:rsid w:val="6FC3127F"/>
    <w:rsid w:val="71B927E7"/>
    <w:rsid w:val="71F52B18"/>
    <w:rsid w:val="72BE025B"/>
    <w:rsid w:val="76A742C8"/>
    <w:rsid w:val="770D5AF8"/>
    <w:rsid w:val="79CE24BD"/>
    <w:rsid w:val="7B1C10AB"/>
    <w:rsid w:val="7BB46454"/>
    <w:rsid w:val="7C5D6F97"/>
    <w:rsid w:val="7CA61337"/>
    <w:rsid w:val="7CD32EB0"/>
    <w:rsid w:val="7D813F06"/>
    <w:rsid w:val="7E850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1855</Words>
  <Characters>10574</Characters>
  <Lines>88</Lines>
  <Paragraphs>24</Paragraphs>
  <TotalTime>6</TotalTime>
  <ScaleCrop>false</ScaleCrop>
  <LinksUpToDate>false</LinksUpToDate>
  <CharactersWithSpaces>12405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2025-03-28T01:25:02Z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AD64AC204EA64369A1FB002ABAEC9A42</vt:lpwstr>
  </property>
</Properties>
</file>